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3" w:firstLineChars="200"/>
        <w:jc w:val="center"/>
        <w:rPr>
          <w:rFonts w:hint="eastAsia" w:ascii="宋体" w:hAnsi="宋体" w:eastAsia="宋体" w:cs="楷体_GB2312"/>
          <w:b/>
          <w:color w:val="000000"/>
          <w:sz w:val="36"/>
          <w:szCs w:val="36"/>
          <w:lang w:val="en-US" w:eastAsia="zh-CN"/>
        </w:rPr>
      </w:pPr>
      <w:r>
        <w:rPr>
          <w:rFonts w:hint="eastAsia" w:ascii="宋体" w:hAnsi="宋体" w:cs="楷体_GB2312"/>
          <w:b/>
          <w:color w:val="000000"/>
          <w:sz w:val="36"/>
          <w:szCs w:val="36"/>
        </w:rPr>
        <w:t>增资扩股协议书</w:t>
      </w:r>
      <w:r>
        <w:rPr>
          <w:rFonts w:hint="eastAsia" w:ascii="宋体" w:hAnsi="宋体" w:cs="楷体_GB2312"/>
          <w:b/>
          <w:color w:val="000000"/>
          <w:sz w:val="36"/>
          <w:szCs w:val="36"/>
          <w:lang w:val="en-US" w:eastAsia="zh-CN"/>
        </w:rPr>
        <w:t xml:space="preserve"> </w:t>
      </w:r>
      <w:bookmarkStart w:id="0" w:name="_GoBack"/>
      <w:bookmarkEnd w:id="0"/>
    </w:p>
    <w:p>
      <w:pPr>
        <w:ind w:firstLine="480" w:firstLineChars="200"/>
        <w:jc w:val="left"/>
        <w:rPr>
          <w:rFonts w:ascii="宋体" w:hAnsi="宋体"/>
          <w:color w:val="000000"/>
          <w:sz w:val="24"/>
        </w:rPr>
      </w:pPr>
    </w:p>
    <w:p>
      <w:pPr>
        <w:spacing w:before="156" w:beforeLines="50" w:after="156" w:afterLines="50" w:line="276" w:lineRule="auto"/>
        <w:ind w:firstLine="480" w:firstLineChars="200"/>
        <w:jc w:val="left"/>
        <w:rPr>
          <w:rFonts w:ascii="宋体" w:hAnsi="宋体" w:cs="楷体_GB2312"/>
          <w:color w:val="000000"/>
          <w:sz w:val="24"/>
          <w:u w:val="single"/>
        </w:rPr>
      </w:pPr>
      <w:r>
        <w:rPr>
          <w:rFonts w:hint="eastAsia" w:ascii="宋体" w:hAnsi="宋体" w:cs="楷体_GB2312"/>
          <w:color w:val="000000"/>
          <w:sz w:val="24"/>
        </w:rPr>
        <w:t>甲方：</w:t>
      </w:r>
    </w:p>
    <w:p>
      <w:pPr>
        <w:spacing w:before="156" w:beforeLines="50" w:after="156" w:afterLines="50" w:line="276" w:lineRule="auto"/>
        <w:ind w:firstLine="480" w:firstLineChars="200"/>
        <w:jc w:val="left"/>
        <w:rPr>
          <w:rFonts w:ascii="宋体" w:hAnsi="宋体" w:cs="楷体_GB2312"/>
          <w:color w:val="000000"/>
          <w:sz w:val="24"/>
          <w:u w:val="single"/>
        </w:rPr>
      </w:pPr>
      <w:r>
        <w:rPr>
          <w:rFonts w:hint="eastAsia" w:ascii="宋体" w:hAnsi="宋体" w:cs="楷体_GB2312"/>
          <w:color w:val="000000"/>
          <w:sz w:val="24"/>
        </w:rPr>
        <w:t>法定代表人：</w:t>
      </w:r>
    </w:p>
    <w:p>
      <w:pPr>
        <w:spacing w:before="156" w:beforeLines="50" w:after="156" w:afterLines="50" w:line="276" w:lineRule="auto"/>
        <w:ind w:firstLine="480" w:firstLineChars="200"/>
        <w:jc w:val="left"/>
        <w:rPr>
          <w:rFonts w:ascii="宋体" w:hAnsi="宋体" w:cs="楷体_GB2312"/>
          <w:color w:val="000000"/>
          <w:sz w:val="24"/>
          <w:u w:val="single"/>
        </w:rPr>
      </w:pPr>
      <w:r>
        <w:rPr>
          <w:rFonts w:hint="eastAsia" w:ascii="宋体" w:hAnsi="宋体" w:cs="楷体_GB2312"/>
          <w:color w:val="000000"/>
          <w:sz w:val="24"/>
        </w:rPr>
        <w:t>身份证号：</w:t>
      </w:r>
    </w:p>
    <w:p>
      <w:pPr>
        <w:spacing w:before="156" w:beforeLines="50" w:after="156" w:afterLines="50" w:line="276" w:lineRule="auto"/>
        <w:ind w:firstLine="480" w:firstLineChars="200"/>
        <w:jc w:val="left"/>
        <w:rPr>
          <w:rFonts w:ascii="宋体" w:hAnsi="宋体" w:cs="楷体_GB2312"/>
          <w:color w:val="000000"/>
          <w:sz w:val="24"/>
        </w:rPr>
      </w:pPr>
    </w:p>
    <w:p>
      <w:pPr>
        <w:spacing w:before="156" w:beforeLines="50" w:after="156" w:afterLines="50" w:line="276" w:lineRule="auto"/>
        <w:ind w:firstLine="480" w:firstLineChars="200"/>
        <w:jc w:val="left"/>
        <w:rPr>
          <w:rFonts w:ascii="宋体" w:hAnsi="宋体" w:cs="楷体_GB2312"/>
          <w:color w:val="000000"/>
          <w:sz w:val="24"/>
          <w:u w:val="single"/>
        </w:rPr>
      </w:pPr>
      <w:r>
        <w:rPr>
          <w:rFonts w:hint="eastAsia" w:ascii="宋体" w:hAnsi="宋体" w:cs="楷体_GB2312"/>
          <w:color w:val="000000"/>
          <w:sz w:val="24"/>
        </w:rPr>
        <w:t>乙方：</w:t>
      </w:r>
    </w:p>
    <w:p>
      <w:pPr>
        <w:spacing w:before="156" w:beforeLines="50" w:after="156" w:afterLines="50" w:line="276" w:lineRule="auto"/>
        <w:ind w:firstLine="480" w:firstLineChars="200"/>
        <w:jc w:val="left"/>
        <w:rPr>
          <w:rFonts w:ascii="宋体" w:hAnsi="宋体" w:cs="楷体_GB2312"/>
          <w:color w:val="000000"/>
          <w:sz w:val="24"/>
        </w:rPr>
      </w:pPr>
      <w:r>
        <w:rPr>
          <w:rFonts w:hint="eastAsia" w:ascii="宋体" w:hAnsi="宋体" w:cs="楷体_GB2312"/>
          <w:color w:val="000000"/>
          <w:sz w:val="24"/>
        </w:rPr>
        <w:t>身份证号：</w:t>
      </w:r>
    </w:p>
    <w:p>
      <w:pPr>
        <w:spacing w:before="156" w:beforeLines="50" w:after="156" w:afterLines="50" w:line="276" w:lineRule="auto"/>
        <w:ind w:firstLine="562" w:firstLineChars="200"/>
        <w:jc w:val="center"/>
        <w:rPr>
          <w:rFonts w:ascii="宋体" w:hAnsi="宋体" w:cs="楷体_GB2312"/>
          <w:b/>
          <w:bCs/>
          <w:color w:val="000000"/>
          <w:sz w:val="28"/>
          <w:szCs w:val="28"/>
        </w:rPr>
      </w:pPr>
      <w:r>
        <w:rPr>
          <w:rFonts w:hint="eastAsia" w:ascii="宋体" w:hAnsi="宋体" w:cs="楷体_GB2312"/>
          <w:b/>
          <w:bCs/>
          <w:color w:val="000000"/>
          <w:sz w:val="28"/>
          <w:szCs w:val="28"/>
        </w:rPr>
        <w:t>第一章 公司简介</w:t>
      </w:r>
    </w:p>
    <w:p>
      <w:p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1、</w:t>
      </w:r>
      <w:r>
        <w:rPr>
          <w:rFonts w:ascii="宋体" w:hAnsi="宋体" w:cs="Arial"/>
          <w:color w:val="000000"/>
          <w:sz w:val="24"/>
        </w:rPr>
        <w:t>××××</w:t>
      </w:r>
      <w:r>
        <w:rPr>
          <w:rFonts w:hint="eastAsia" w:ascii="宋体" w:hAnsi="宋体" w:cs="楷体"/>
          <w:color w:val="000000"/>
          <w:sz w:val="24"/>
        </w:rPr>
        <w:t>有限公司（以下简称公司），年月日成立，注册资本万，实收资本万。经营范围，由原始股东共同投资设立，甲方为公司的法定代表人。</w:t>
      </w:r>
    </w:p>
    <w:p>
      <w:pPr>
        <w:numPr>
          <w:ilvl w:val="0"/>
          <w:numId w:val="1"/>
        </w:num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因公司经营发展需要，经公司原始股东友好协商后决定，于年月日进行增资。</w:t>
      </w:r>
    </w:p>
    <w:p>
      <w:pPr>
        <w:numPr>
          <w:ilvl w:val="0"/>
          <w:numId w:val="2"/>
        </w:numPr>
        <w:spacing w:before="156" w:beforeLines="50" w:after="156" w:afterLines="50" w:line="276" w:lineRule="auto"/>
        <w:ind w:firstLine="480" w:firstLineChars="200"/>
        <w:jc w:val="left"/>
        <w:rPr>
          <w:rFonts w:ascii="宋体" w:hAnsi="宋体" w:cs="楷体"/>
          <w:color w:val="000000"/>
          <w:sz w:val="24"/>
          <w:u w:val="single"/>
        </w:rPr>
      </w:pPr>
      <w:r>
        <w:rPr>
          <w:rFonts w:hint="eastAsia" w:ascii="宋体" w:hAnsi="宋体" w:cs="楷体"/>
          <w:color w:val="000000"/>
          <w:sz w:val="24"/>
        </w:rPr>
        <w:t>年月日，经原始股东与乙方友好协商后合意，将公司整体资产进行评估，评估价格为万元人民币（大写：</w:t>
      </w:r>
    </w:p>
    <w:p>
      <w:p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万</w:t>
      </w:r>
      <w:r>
        <w:rPr>
          <w:rFonts w:hint="eastAsia" w:ascii="宋体" w:hAnsi="宋体" w:cs="楷体_GB2312"/>
          <w:color w:val="000000"/>
          <w:sz w:val="24"/>
        </w:rPr>
        <w:t>元整</w:t>
      </w:r>
      <w:r>
        <w:rPr>
          <w:rFonts w:hint="eastAsia" w:ascii="宋体" w:hAnsi="宋体" w:cs="楷体"/>
          <w:color w:val="000000"/>
          <w:sz w:val="24"/>
        </w:rPr>
        <w:t>，同时，将公司总股本折分成万股，每股作价人民币元。</w:t>
      </w:r>
    </w:p>
    <w:p>
      <w:p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4、截至年月日，</w:t>
      </w:r>
      <w:r>
        <w:rPr>
          <w:rFonts w:hint="eastAsia" w:ascii="宋体" w:hAnsi="宋体"/>
          <w:color w:val="000000"/>
          <w:sz w:val="24"/>
        </w:rPr>
        <w:t>公司股权结构为下表所示：</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股东姓名</w:t>
            </w: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持股数量（万股）</w:t>
            </w: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每股单价（元）</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出资方式</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合计</w:t>
            </w: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无</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无</w:t>
            </w:r>
          </w:p>
        </w:tc>
        <w:tc>
          <w:tcPr>
            <w:tcW w:w="1705" w:type="dxa"/>
          </w:tcPr>
          <w:p>
            <w:pPr>
              <w:spacing w:before="156" w:beforeLines="50" w:after="156" w:afterLines="50"/>
              <w:jc w:val="center"/>
              <w:rPr>
                <w:rFonts w:ascii="宋体" w:hAnsi="宋体" w:cs="楷体_GB2312"/>
                <w:b/>
                <w:bCs/>
                <w:color w:val="000000"/>
                <w:sz w:val="24"/>
              </w:rPr>
            </w:pPr>
          </w:p>
        </w:tc>
      </w:tr>
    </w:tbl>
    <w:p>
      <w:pPr>
        <w:spacing w:before="156" w:beforeLines="50" w:after="156" w:afterLines="50" w:line="276" w:lineRule="auto"/>
        <w:ind w:firstLine="562" w:firstLineChars="200"/>
        <w:jc w:val="center"/>
        <w:rPr>
          <w:rFonts w:ascii="宋体" w:hAnsi="宋体" w:cs="楷体_GB2312"/>
          <w:b/>
          <w:bCs/>
          <w:color w:val="000000"/>
          <w:sz w:val="28"/>
          <w:szCs w:val="28"/>
        </w:rPr>
      </w:pPr>
      <w:r>
        <w:rPr>
          <w:rFonts w:hint="eastAsia" w:ascii="宋体" w:hAnsi="宋体" w:cs="楷体_GB2312"/>
          <w:b/>
          <w:bCs/>
          <w:color w:val="000000"/>
          <w:sz w:val="28"/>
          <w:szCs w:val="28"/>
        </w:rPr>
        <w:t>第二章 增资扩股方案</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1、方案内容</w:t>
      </w:r>
      <w:r>
        <w:rPr>
          <w:rFonts w:hint="eastAsia" w:ascii="宋体" w:hAnsi="宋体" w:cs="楷体_GB2312"/>
          <w:color w:val="000000"/>
          <w:szCs w:val="24"/>
        </w:rPr>
        <w:br w:type="textWrapping"/>
      </w:r>
      <w:r>
        <w:rPr>
          <w:rFonts w:hint="eastAsia" w:ascii="宋体" w:hAnsi="宋体" w:cs="楷体_GB2312"/>
          <w:color w:val="000000"/>
          <w:szCs w:val="24"/>
        </w:rPr>
        <w:t>（1）对公司进行增资扩股，增资的额度为万人民币，折合股权为万股，每股作价人民币1元，扩股后的股权变为万股。将公司注册资本增加至人民币万元，新增注册资本万元。</w:t>
      </w:r>
      <w:r>
        <w:rPr>
          <w:rFonts w:hint="eastAsia" w:ascii="宋体" w:hAnsi="宋体" w:cs="楷体_GB2312"/>
          <w:color w:val="000000"/>
          <w:szCs w:val="24"/>
        </w:rPr>
        <w:br w:type="textWrapping"/>
      </w:r>
      <w:r>
        <w:rPr>
          <w:rFonts w:hint="eastAsia" w:ascii="宋体" w:hAnsi="宋体" w:cs="楷体_GB2312"/>
          <w:color w:val="000000"/>
          <w:szCs w:val="24"/>
        </w:rPr>
        <w:t>（2）乙方以公司现有净资产转增资本，乙方以货币投资万元，持有公司新增股权万股。</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（3）增资扩股完成后，公司股东由以及乙方组成，原股东所占股权的比例与新增股权进行同比例稀释。</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（4）剩余万的新增股权，作为库藏股，由公司持有，为日后引进新股东而用。</w:t>
      </w:r>
    </w:p>
    <w:p>
      <w:pPr>
        <w:numPr>
          <w:ilvl w:val="0"/>
          <w:numId w:val="3"/>
        </w:num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本次增资扩股后的公司股权结构如下表所示：</w:t>
      </w:r>
    </w:p>
    <w:tbl>
      <w:tblPr>
        <w:tblStyle w:val="8"/>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1704"/>
        <w:gridCol w:w="1704"/>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股东姓名</w:t>
            </w: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持股数量（万股）</w:t>
            </w: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每股单价（元）</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出资方式</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持股比例（％）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货币</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1</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未定</w:t>
            </w:r>
          </w:p>
        </w:tc>
        <w:tc>
          <w:tcPr>
            <w:tcW w:w="1705" w:type="dxa"/>
          </w:tcPr>
          <w:p>
            <w:pPr>
              <w:spacing w:before="156" w:beforeLines="50" w:after="156" w:afterLines="50"/>
              <w:jc w:val="center"/>
              <w:rPr>
                <w:rFonts w:ascii="宋体" w:hAnsi="宋体" w:cs="楷体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总计</w:t>
            </w:r>
          </w:p>
        </w:tc>
        <w:tc>
          <w:tcPr>
            <w:tcW w:w="1704" w:type="dxa"/>
          </w:tcPr>
          <w:p>
            <w:pPr>
              <w:spacing w:before="156" w:beforeLines="50" w:after="156" w:afterLines="50"/>
              <w:jc w:val="center"/>
              <w:rPr>
                <w:rFonts w:ascii="宋体" w:hAnsi="宋体" w:cs="楷体_GB2312"/>
                <w:b/>
                <w:bCs/>
                <w:color w:val="000000"/>
                <w:sz w:val="24"/>
              </w:rPr>
            </w:pPr>
          </w:p>
        </w:tc>
        <w:tc>
          <w:tcPr>
            <w:tcW w:w="1704"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无</w:t>
            </w:r>
          </w:p>
        </w:tc>
        <w:tc>
          <w:tcPr>
            <w:tcW w:w="1705" w:type="dxa"/>
          </w:tcPr>
          <w:p>
            <w:pPr>
              <w:spacing w:before="156" w:beforeLines="50" w:after="156" w:afterLines="50"/>
              <w:jc w:val="center"/>
              <w:rPr>
                <w:rFonts w:ascii="宋体" w:hAnsi="宋体" w:cs="楷体_GB2312"/>
                <w:b/>
                <w:bCs/>
                <w:color w:val="000000"/>
                <w:sz w:val="24"/>
              </w:rPr>
            </w:pPr>
            <w:r>
              <w:rPr>
                <w:rFonts w:hint="eastAsia" w:ascii="宋体" w:hAnsi="宋体" w:cs="楷体_GB2312"/>
                <w:b/>
                <w:bCs/>
                <w:color w:val="000000"/>
                <w:sz w:val="24"/>
              </w:rPr>
              <w:t>无</w:t>
            </w:r>
          </w:p>
        </w:tc>
        <w:tc>
          <w:tcPr>
            <w:tcW w:w="1705" w:type="dxa"/>
          </w:tcPr>
          <w:p>
            <w:pPr>
              <w:spacing w:before="156" w:beforeLines="50" w:after="156" w:afterLines="50"/>
              <w:jc w:val="center"/>
              <w:rPr>
                <w:rFonts w:ascii="宋体" w:hAnsi="宋体" w:cs="楷体_GB2312"/>
                <w:b/>
                <w:bCs/>
                <w:color w:val="000000"/>
                <w:sz w:val="24"/>
              </w:rPr>
            </w:pPr>
          </w:p>
        </w:tc>
      </w:tr>
    </w:tbl>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3、对方案的说明</w:t>
      </w:r>
    </w:p>
    <w:p>
      <w:pPr>
        <w:widowControl/>
        <w:spacing w:before="156" w:beforeLines="50" w:after="156" w:afterLines="50" w:line="276" w:lineRule="auto"/>
        <w:ind w:firstLine="480" w:firstLineChars="200"/>
        <w:jc w:val="left"/>
        <w:rPr>
          <w:rFonts w:ascii="宋体" w:hAnsi="宋体" w:cs="楷体_GB2312"/>
          <w:color w:val="000000"/>
          <w:kern w:val="0"/>
          <w:sz w:val="24"/>
        </w:rPr>
      </w:pPr>
      <w:r>
        <w:rPr>
          <w:rFonts w:hint="eastAsia" w:ascii="宋体" w:hAnsi="宋体" w:cs="楷体_GB2312"/>
          <w:color w:val="000000"/>
          <w:kern w:val="0"/>
          <w:sz w:val="24"/>
        </w:rPr>
        <w:t>（1）各方确认，公司的整体资产、负债全部转归公司。</w:t>
      </w:r>
    </w:p>
    <w:p>
      <w:pPr>
        <w:widowControl/>
        <w:spacing w:before="156" w:beforeLines="50" w:after="156" w:afterLines="50" w:line="276" w:lineRule="auto"/>
        <w:ind w:firstLine="480" w:firstLineChars="200"/>
        <w:jc w:val="left"/>
        <w:rPr>
          <w:rFonts w:ascii="宋体" w:hAnsi="宋体" w:cs="楷体_GB2312"/>
          <w:color w:val="000000"/>
          <w:kern w:val="0"/>
          <w:sz w:val="24"/>
        </w:rPr>
      </w:pPr>
      <w:r>
        <w:rPr>
          <w:rFonts w:hint="eastAsia" w:ascii="宋体" w:hAnsi="宋体" w:cs="楷体_GB2312"/>
          <w:color w:val="000000"/>
          <w:kern w:val="0"/>
          <w:sz w:val="24"/>
        </w:rPr>
        <w:t>（2）各方一致认同公司仍继承公司的业务，以经营为主业。</w:t>
      </w:r>
    </w:p>
    <w:p>
      <w:pPr>
        <w:widowControl/>
        <w:spacing w:before="156" w:beforeLines="50" w:after="156" w:afterLines="50" w:line="276" w:lineRule="auto"/>
        <w:ind w:firstLine="480" w:firstLineChars="200"/>
        <w:jc w:val="left"/>
        <w:rPr>
          <w:rFonts w:ascii="宋体" w:hAnsi="宋体" w:cs="楷体_GB2312"/>
          <w:color w:val="000000"/>
          <w:kern w:val="0"/>
          <w:sz w:val="24"/>
        </w:rPr>
      </w:pPr>
      <w:r>
        <w:rPr>
          <w:rFonts w:hint="eastAsia" w:ascii="宋体" w:hAnsi="宋体" w:cs="楷体_GB2312"/>
          <w:color w:val="000000"/>
          <w:kern w:val="0"/>
          <w:sz w:val="24"/>
        </w:rPr>
        <w:t>（3）各方同意，共同促使增资扩股后的公司符合法律的要求取得相应的资质。</w:t>
      </w:r>
    </w:p>
    <w:p>
      <w:pPr>
        <w:spacing w:before="156" w:beforeLines="50" w:after="156" w:afterLines="50" w:line="276" w:lineRule="auto"/>
        <w:ind w:firstLine="562" w:firstLineChars="200"/>
        <w:jc w:val="center"/>
        <w:rPr>
          <w:rFonts w:ascii="宋体" w:hAnsi="宋体" w:cs="楷体_GB2312"/>
          <w:b/>
          <w:bCs/>
          <w:color w:val="000000"/>
          <w:sz w:val="28"/>
          <w:szCs w:val="28"/>
        </w:rPr>
      </w:pPr>
      <w:r>
        <w:rPr>
          <w:rFonts w:hint="eastAsia" w:ascii="宋体" w:hAnsi="宋体" w:cs="楷体_GB2312"/>
          <w:b/>
          <w:bCs/>
          <w:color w:val="000000"/>
          <w:sz w:val="28"/>
          <w:szCs w:val="28"/>
        </w:rPr>
        <w:t>第三章 各方的责任与义务</w:t>
      </w:r>
    </w:p>
    <w:p>
      <w:p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1、甲方任公司的董事长，负责公司股东会、董事会管理，公司经营战略制定与执行，外联资源对接，资本运作、财务监管等工作。</w:t>
      </w:r>
    </w:p>
    <w:p>
      <w:pPr>
        <w:spacing w:before="156" w:beforeLines="50" w:after="156" w:afterLines="50" w:line="276" w:lineRule="auto"/>
        <w:ind w:firstLine="480" w:firstLineChars="200"/>
        <w:jc w:val="left"/>
        <w:rPr>
          <w:rFonts w:ascii="宋体" w:hAnsi="宋体" w:cs="楷体"/>
          <w:color w:val="000000"/>
          <w:sz w:val="24"/>
        </w:rPr>
      </w:pPr>
      <w:r>
        <w:rPr>
          <w:rFonts w:hint="eastAsia" w:ascii="宋体" w:hAnsi="宋体" w:cs="楷体"/>
          <w:color w:val="000000"/>
          <w:sz w:val="24"/>
        </w:rPr>
        <w:t>2、乙方任公司，负责公司。</w:t>
      </w:r>
    </w:p>
    <w:p>
      <w:pPr>
        <w:spacing w:before="156" w:beforeLines="50" w:after="156" w:afterLines="50" w:line="276" w:lineRule="auto"/>
        <w:ind w:firstLine="480" w:firstLineChars="200"/>
        <w:jc w:val="left"/>
        <w:rPr>
          <w:rFonts w:ascii="宋体" w:hAnsi="宋体" w:cs="楷体_GB2312"/>
          <w:color w:val="000000"/>
          <w:sz w:val="24"/>
        </w:rPr>
      </w:pPr>
      <w:r>
        <w:rPr>
          <w:rFonts w:hint="eastAsia" w:ascii="宋体" w:hAnsi="宋体" w:cs="楷体_GB2312"/>
          <w:color w:val="000000"/>
          <w:sz w:val="24"/>
        </w:rPr>
        <w:t>3、原始股东保证公司除本协议已披露的债务负担外，不会因公司对其权利和义务的承继而增加任何运营成本，如有该等事项，则原股东应对公司、乙方以等额补偿。</w:t>
      </w:r>
    </w:p>
    <w:p>
      <w:pPr>
        <w:spacing w:before="156" w:beforeLines="50" w:after="156" w:afterLines="50" w:line="276" w:lineRule="auto"/>
        <w:ind w:firstLine="480" w:firstLineChars="200"/>
        <w:jc w:val="left"/>
        <w:rPr>
          <w:rFonts w:ascii="宋体" w:hAnsi="宋体" w:cs="楷体_GB2312"/>
          <w:color w:val="000000"/>
          <w:sz w:val="24"/>
        </w:rPr>
      </w:pPr>
      <w:r>
        <w:rPr>
          <w:rFonts w:hint="eastAsia" w:ascii="宋体" w:hAnsi="宋体" w:cs="楷体_GB2312"/>
          <w:color w:val="000000"/>
          <w:sz w:val="24"/>
        </w:rPr>
        <w:t>4、乙方保证按本协议确定的时间及数额投资到位，汇入公司账户，具体如下：</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（1）本协议签署前，由公司原始股东召开股东会审议通过本协议所述增资事项，并批准同意公司增资改制，乙方方保证在本协议签署之日起日内将增资款项全部汇入公司账户。</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（2）账户信息如下：</w:t>
      </w:r>
    </w:p>
    <w:p>
      <w:pPr>
        <w:spacing w:before="156" w:beforeLines="50" w:after="156" w:afterLines="50" w:line="276" w:lineRule="auto"/>
        <w:ind w:firstLine="480" w:firstLineChars="200"/>
        <w:jc w:val="left"/>
        <w:rPr>
          <w:rFonts w:ascii="宋体" w:hAnsi="宋体"/>
          <w:color w:val="000000"/>
          <w:sz w:val="24"/>
          <w:u w:val="single"/>
        </w:rPr>
      </w:pPr>
      <w:r>
        <w:rPr>
          <w:rFonts w:hint="eastAsia" w:ascii="宋体" w:hAnsi="宋体"/>
          <w:color w:val="000000"/>
          <w:sz w:val="24"/>
        </w:rPr>
        <w:t>账户：</w:t>
      </w:r>
    </w:p>
    <w:p>
      <w:pPr>
        <w:spacing w:before="156" w:beforeLines="50" w:after="156" w:afterLines="50" w:line="276" w:lineRule="auto"/>
        <w:ind w:firstLine="480" w:firstLineChars="200"/>
        <w:jc w:val="left"/>
        <w:rPr>
          <w:rFonts w:ascii="宋体" w:hAnsi="宋体"/>
          <w:color w:val="000000"/>
          <w:sz w:val="24"/>
          <w:u w:val="single"/>
        </w:rPr>
      </w:pPr>
      <w:r>
        <w:rPr>
          <w:rFonts w:hint="eastAsia" w:ascii="宋体" w:hAnsi="宋体"/>
          <w:color w:val="000000"/>
          <w:sz w:val="24"/>
        </w:rPr>
        <w:t>开户行：</w:t>
      </w:r>
    </w:p>
    <w:p>
      <w:pPr>
        <w:spacing w:before="156" w:beforeLines="50" w:after="156" w:afterLines="50" w:line="276" w:lineRule="auto"/>
        <w:ind w:firstLine="480" w:firstLineChars="200"/>
        <w:jc w:val="left"/>
        <w:rPr>
          <w:rFonts w:ascii="宋体" w:hAnsi="宋体"/>
          <w:color w:val="000000"/>
          <w:sz w:val="24"/>
          <w:u w:val="single"/>
        </w:rPr>
      </w:pPr>
      <w:r>
        <w:rPr>
          <w:rFonts w:hint="eastAsia" w:ascii="宋体" w:hAnsi="宋体"/>
          <w:color w:val="000000"/>
          <w:sz w:val="24"/>
        </w:rPr>
        <w:t>开户名：</w:t>
      </w:r>
    </w:p>
    <w:p>
      <w:pPr>
        <w:numPr>
          <w:ilvl w:val="0"/>
          <w:numId w:val="4"/>
        </w:numPr>
        <w:spacing w:before="156" w:beforeLines="50" w:after="156" w:afterLines="50" w:line="276" w:lineRule="auto"/>
        <w:ind w:firstLine="562" w:firstLineChars="200"/>
        <w:jc w:val="center"/>
        <w:rPr>
          <w:rFonts w:ascii="宋体" w:hAnsi="宋体" w:cs="楷体_GB2312"/>
          <w:b/>
          <w:bCs/>
          <w:color w:val="000000"/>
          <w:sz w:val="28"/>
          <w:szCs w:val="28"/>
        </w:rPr>
      </w:pPr>
      <w:r>
        <w:rPr>
          <w:rFonts w:hint="eastAsia" w:ascii="宋体" w:hAnsi="宋体" w:cs="楷体_GB2312"/>
          <w:b/>
          <w:bCs/>
          <w:color w:val="000000"/>
          <w:sz w:val="28"/>
          <w:szCs w:val="28"/>
        </w:rPr>
        <w:t xml:space="preserve"> 陈述、承诺及保证</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1、本协议任何一方向本协议其他各方陈述如下：</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其有完全的民事权利能力和民事行为能力参与、订立及执行本协议，或具有签署与履行本协议所需的一切必要权力与授权，并且直至本协议所述增资扩股完成，仍将持续具有充分履行其在本协议项下各项义务的一切必要权力与授权；</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（2）签署本协议并履行本协议项下的各项义务并不会侵犯任何第三方的权利。</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2、本协议任何一方向本协议其他各方做出承诺和保证如下：</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（1）本协议一经签署即对其构成合法、有效、具有约束力的协议；</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（2）其在协议内的陈述以及承诺的内容均是真实、完整且无误导性的；</w:t>
      </w:r>
    </w:p>
    <w:p>
      <w:pPr>
        <w:pStyle w:val="6"/>
        <w:widowControl/>
        <w:spacing w:before="156" w:beforeLines="50" w:beforeAutospacing="0" w:after="156" w:afterLines="50" w:afterAutospacing="0" w:line="276" w:lineRule="auto"/>
        <w:ind w:firstLine="480" w:firstLineChars="200"/>
        <w:rPr>
          <w:rFonts w:ascii="宋体" w:hAnsi="宋体"/>
          <w:color w:val="000000"/>
          <w:szCs w:val="24"/>
        </w:rPr>
      </w:pPr>
      <w:r>
        <w:rPr>
          <w:rFonts w:hint="eastAsia" w:ascii="宋体" w:hAnsi="宋体" w:cs="楷体_GB2312"/>
          <w:color w:val="000000"/>
          <w:szCs w:val="24"/>
        </w:rPr>
        <w:t>（3）其根据本协议进行的合作具有排他性，在未经各方一致同意的情况下，任何一方均不能与任何第三方签订类似的合作协议进行类似的合作，否则，违约方所得利益和权利由公司无偿取得或享有。</w:t>
      </w:r>
    </w:p>
    <w:p>
      <w:pPr>
        <w:numPr>
          <w:ilvl w:val="0"/>
          <w:numId w:val="4"/>
        </w:numPr>
        <w:spacing w:before="156" w:beforeLines="50" w:after="156" w:afterLines="50" w:line="276" w:lineRule="auto"/>
        <w:ind w:firstLine="562" w:firstLineChars="200"/>
        <w:jc w:val="center"/>
        <w:rPr>
          <w:rFonts w:ascii="宋体" w:hAnsi="宋体"/>
          <w:b/>
          <w:bCs/>
          <w:color w:val="000000"/>
          <w:sz w:val="28"/>
          <w:szCs w:val="28"/>
        </w:rPr>
      </w:pPr>
      <w:r>
        <w:rPr>
          <w:rFonts w:hint="eastAsia" w:ascii="宋体" w:hAnsi="宋体"/>
          <w:b/>
          <w:bCs/>
          <w:color w:val="000000"/>
          <w:sz w:val="28"/>
          <w:szCs w:val="28"/>
        </w:rPr>
        <w:t xml:space="preserve"> 股东分红</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1、公司各股东共同承诺公司所有股东（特殊约定除外）按照投资金额相对应的持股比例对股东进行红利分配。红利按照每年税后净利润的30%作为股东分红，70%作为公司再发展资金。如需更改分红比例，需要经过公司持股权数超过三分之二以上的股东投票通过后，可更改公司分红比例。</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2、经公司代表三分之二以上表决权的股东投票通过后，决定于每年</w:t>
      </w:r>
      <w:r>
        <w:rPr>
          <w:rFonts w:hint="eastAsia" w:ascii="宋体" w:hAnsi="宋体" w:cs="楷体"/>
          <w:color w:val="000000"/>
          <w:sz w:val="24"/>
          <w:u w:val="single"/>
        </w:rPr>
        <w:t>月日</w:t>
      </w:r>
      <w:r>
        <w:rPr>
          <w:rFonts w:hint="eastAsia" w:ascii="宋体" w:hAnsi="宋体" w:cs="楷体"/>
          <w:color w:val="000000"/>
          <w:sz w:val="24"/>
        </w:rPr>
        <w:t>之前给予所有股东按前款约定的分红方法进行分红。</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3、分红支付统一以货币支付。</w:t>
      </w:r>
    </w:p>
    <w:p>
      <w:pPr>
        <w:numPr>
          <w:ilvl w:val="0"/>
          <w:numId w:val="4"/>
        </w:numPr>
        <w:spacing w:before="156" w:beforeLines="50" w:after="156" w:afterLines="50" w:line="276" w:lineRule="auto"/>
        <w:ind w:firstLine="562" w:firstLineChars="200"/>
        <w:jc w:val="center"/>
        <w:rPr>
          <w:rFonts w:ascii="宋体" w:hAnsi="宋体"/>
          <w:b/>
          <w:bCs/>
          <w:color w:val="000000"/>
          <w:sz w:val="28"/>
          <w:szCs w:val="28"/>
        </w:rPr>
      </w:pPr>
      <w:r>
        <w:rPr>
          <w:rFonts w:hint="eastAsia" w:ascii="宋体" w:hAnsi="宋体"/>
          <w:b/>
          <w:bCs/>
          <w:color w:val="000000"/>
          <w:sz w:val="28"/>
          <w:szCs w:val="28"/>
        </w:rPr>
        <w:t xml:space="preserve"> 股权锁定期和退出机制</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1、乙方股权锁定期为年，锁定期内无论因任何原因不得要求公司以及其他任何股东退股，但乙方可将其股权进行转让，受让人必须能胜任乙方所在职位的要求，并经代表半数以上表决权的股东通过方可生效。</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2、锁定期内，若乙方经合理解释后，并经代表半数以上表决权的股东通过后，可以退股，并根据其合作时间的长短，确定如下退还投资金额、分红方法：</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若合作时间在一年之内，退还其投资金额的60％，并于表决通过之日起丧失其股东身份，同时丧失作为股东所应享有的所有权利。</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3、锁定期满后，乙方拥有继续持股的权利，但须与甲方签订续约协议，并须提前六个月向甲方提出申请；同时乙方可向公司申请回购或者转让给第三方，具体如下：</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（1）若公司上市，乙方可以在股票市场退出或其他股东回购。</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（2）若乙方将其股权进行转让，其他股东拥有优先购买权，购买的比例由公司其他股东按照持股比例进行购买，其他股东可以选择弃权不购买。当购买完后的剩余部分，第三方拥有第二购买权，</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（3）若公司内部股东无人购买，退出方可转让给第三方，转卖价格由转让方与第三方友好协商决定。</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4）若乙方将股权转让给第三方，第三方必须履行本协议规定的相应义务和权利内容，且第三方不得从事与公司构成同业竞争或者关联交易的业务，经甲方同意之后，方可进行转让；如乙方溢价转让，乙方不得要求甲方向第三方签署任何形式的承诺条款。</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5）若乙方不认可公司经营方向并且期满后，可向申请回购，回购时重新评估公司净资产，退还的金额为乙方所占股权的现时价值。如乙方要求公司进行回购，双方应在30日之内签订解除协议并进行工商变更；如30日之后，甲方未能签订，则视为同意解除，如乙方未能签订，直到乙方签订并进行工商变更后方可解除协议。</w:t>
      </w:r>
    </w:p>
    <w:p>
      <w:pPr>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4、无论锁定期内还是锁定期后退出，乙方应当配合甲方进行工商变更且甲方应在30日之内核算完毕，甲方按照以下支付方式进行支付：</w:t>
      </w:r>
    </w:p>
    <w:p>
      <w:pPr>
        <w:spacing w:before="156" w:beforeLines="50" w:after="156" w:afterLines="50" w:line="276" w:lineRule="auto"/>
        <w:ind w:firstLine="480" w:firstLineChars="200"/>
        <w:rPr>
          <w:rFonts w:ascii="宋体" w:hAnsi="宋体" w:cs="Arial"/>
          <w:color w:val="000000"/>
          <w:sz w:val="24"/>
        </w:rPr>
      </w:pPr>
      <w:r>
        <w:rPr>
          <w:rFonts w:hint="eastAsia" w:ascii="宋体" w:hAnsi="宋体" w:cs="楷体_GB2312"/>
          <w:color w:val="000000"/>
          <w:sz w:val="24"/>
        </w:rPr>
        <w:t>（1）退出金额经核算后占公司年销售额5</w:t>
      </w:r>
      <w:r>
        <w:rPr>
          <w:rFonts w:ascii="宋体" w:hAnsi="宋体" w:cs="Arial"/>
          <w:color w:val="000000"/>
          <w:sz w:val="24"/>
        </w:rPr>
        <w:t>％</w:t>
      </w:r>
      <w:r>
        <w:rPr>
          <w:rFonts w:hint="eastAsia" w:ascii="宋体" w:hAnsi="宋体" w:cs="Arial"/>
          <w:color w:val="000000"/>
          <w:sz w:val="24"/>
        </w:rPr>
        <w:t>以内的，在退出之日起6个月之内分三批平均退还；</w:t>
      </w:r>
    </w:p>
    <w:p>
      <w:pPr>
        <w:spacing w:before="156" w:beforeLines="50" w:after="156" w:afterLines="50" w:line="276" w:lineRule="auto"/>
        <w:ind w:firstLine="480" w:firstLineChars="200"/>
        <w:rPr>
          <w:rFonts w:ascii="宋体" w:hAnsi="宋体" w:cs="Arial"/>
          <w:color w:val="000000"/>
          <w:sz w:val="24"/>
        </w:rPr>
      </w:pPr>
      <w:r>
        <w:rPr>
          <w:rFonts w:hint="eastAsia" w:ascii="宋体" w:hAnsi="宋体" w:cs="Arial"/>
          <w:color w:val="000000"/>
          <w:sz w:val="24"/>
        </w:rPr>
        <w:t>（2）</w:t>
      </w:r>
      <w:r>
        <w:rPr>
          <w:rFonts w:hint="eastAsia" w:ascii="宋体" w:hAnsi="宋体" w:cs="楷体_GB2312"/>
          <w:color w:val="000000"/>
          <w:sz w:val="24"/>
        </w:rPr>
        <w:t>退出金额经核算后占公司年销售额5</w:t>
      </w:r>
      <w:r>
        <w:rPr>
          <w:rFonts w:ascii="宋体" w:hAnsi="宋体" w:cs="Arial"/>
          <w:color w:val="000000"/>
          <w:sz w:val="24"/>
        </w:rPr>
        <w:t>％</w:t>
      </w:r>
      <w:r>
        <w:rPr>
          <w:rFonts w:hint="eastAsia" w:ascii="宋体" w:hAnsi="宋体" w:cs="Arial"/>
          <w:color w:val="000000"/>
          <w:sz w:val="24"/>
        </w:rPr>
        <w:t>-</w:t>
      </w:r>
      <w:r>
        <w:rPr>
          <w:rFonts w:hint="eastAsia" w:ascii="宋体" w:hAnsi="宋体" w:cs="楷体_GB2312"/>
          <w:color w:val="000000"/>
          <w:sz w:val="24"/>
        </w:rPr>
        <w:t>10</w:t>
      </w:r>
      <w:r>
        <w:rPr>
          <w:rFonts w:ascii="宋体" w:hAnsi="宋体" w:cs="Arial"/>
          <w:color w:val="000000"/>
          <w:sz w:val="24"/>
        </w:rPr>
        <w:t>％</w:t>
      </w:r>
      <w:r>
        <w:rPr>
          <w:rFonts w:hint="eastAsia" w:ascii="宋体" w:hAnsi="宋体" w:cs="Arial"/>
          <w:color w:val="000000"/>
          <w:sz w:val="24"/>
        </w:rPr>
        <w:t>以内的，在退出之日起12个月之内分三批平均退还；</w:t>
      </w:r>
    </w:p>
    <w:p>
      <w:pPr>
        <w:spacing w:before="156" w:beforeLines="50" w:after="156" w:afterLines="50" w:line="276" w:lineRule="auto"/>
        <w:ind w:firstLine="480" w:firstLineChars="200"/>
        <w:rPr>
          <w:rFonts w:ascii="宋体" w:hAnsi="宋体" w:cs="Arial"/>
          <w:color w:val="000000"/>
          <w:sz w:val="24"/>
        </w:rPr>
      </w:pPr>
      <w:r>
        <w:rPr>
          <w:rFonts w:hint="eastAsia" w:ascii="宋体" w:hAnsi="宋体" w:cs="Arial"/>
          <w:color w:val="000000"/>
          <w:sz w:val="24"/>
        </w:rPr>
        <w:t>（3）</w:t>
      </w:r>
      <w:r>
        <w:rPr>
          <w:rFonts w:hint="eastAsia" w:ascii="宋体" w:hAnsi="宋体" w:cs="楷体_GB2312"/>
          <w:color w:val="000000"/>
          <w:sz w:val="24"/>
        </w:rPr>
        <w:t>退出金额经核算后占公司年销售额10</w:t>
      </w:r>
      <w:r>
        <w:rPr>
          <w:rFonts w:ascii="宋体" w:hAnsi="宋体" w:cs="Arial"/>
          <w:color w:val="000000"/>
          <w:sz w:val="24"/>
        </w:rPr>
        <w:t>％</w:t>
      </w:r>
      <w:r>
        <w:rPr>
          <w:rFonts w:hint="eastAsia" w:ascii="宋体" w:hAnsi="宋体" w:cs="Arial"/>
          <w:color w:val="000000"/>
          <w:sz w:val="24"/>
        </w:rPr>
        <w:t>-</w:t>
      </w:r>
      <w:r>
        <w:rPr>
          <w:rFonts w:hint="eastAsia" w:ascii="宋体" w:hAnsi="宋体" w:cs="楷体_GB2312"/>
          <w:color w:val="000000"/>
          <w:sz w:val="24"/>
        </w:rPr>
        <w:t>15</w:t>
      </w:r>
      <w:r>
        <w:rPr>
          <w:rFonts w:ascii="宋体" w:hAnsi="宋体" w:cs="Arial"/>
          <w:color w:val="000000"/>
          <w:sz w:val="24"/>
        </w:rPr>
        <w:t>％</w:t>
      </w:r>
      <w:r>
        <w:rPr>
          <w:rFonts w:hint="eastAsia" w:ascii="宋体" w:hAnsi="宋体" w:cs="Arial"/>
          <w:color w:val="000000"/>
          <w:sz w:val="24"/>
        </w:rPr>
        <w:t>以内的，在退出之日起18个月之内分三批平均退还；</w:t>
      </w:r>
    </w:p>
    <w:p>
      <w:pPr>
        <w:spacing w:before="156" w:beforeLines="50" w:after="156" w:afterLines="50" w:line="276" w:lineRule="auto"/>
        <w:ind w:firstLine="480" w:firstLineChars="200"/>
        <w:rPr>
          <w:rFonts w:ascii="宋体" w:hAnsi="宋体" w:cs="Arial"/>
          <w:color w:val="000000"/>
          <w:sz w:val="24"/>
        </w:rPr>
      </w:pPr>
      <w:r>
        <w:rPr>
          <w:rFonts w:hint="eastAsia" w:ascii="宋体" w:hAnsi="宋体" w:cs="Arial"/>
          <w:color w:val="000000"/>
          <w:sz w:val="24"/>
        </w:rPr>
        <w:t>（4）</w:t>
      </w:r>
      <w:r>
        <w:rPr>
          <w:rFonts w:hint="eastAsia" w:ascii="宋体" w:hAnsi="宋体" w:cs="楷体_GB2312"/>
          <w:color w:val="000000"/>
          <w:sz w:val="24"/>
        </w:rPr>
        <w:t>退出金额经核算后占公司年销售额15</w:t>
      </w:r>
      <w:r>
        <w:rPr>
          <w:rFonts w:ascii="宋体" w:hAnsi="宋体" w:cs="Arial"/>
          <w:color w:val="000000"/>
          <w:sz w:val="24"/>
        </w:rPr>
        <w:t>％</w:t>
      </w:r>
      <w:r>
        <w:rPr>
          <w:rFonts w:hint="eastAsia" w:ascii="宋体" w:hAnsi="宋体" w:cs="Arial"/>
          <w:color w:val="000000"/>
          <w:sz w:val="24"/>
        </w:rPr>
        <w:t>-20</w:t>
      </w:r>
      <w:r>
        <w:rPr>
          <w:rFonts w:ascii="宋体" w:hAnsi="宋体" w:cs="Arial"/>
          <w:color w:val="000000"/>
          <w:sz w:val="24"/>
        </w:rPr>
        <w:t>％</w:t>
      </w:r>
      <w:r>
        <w:rPr>
          <w:rFonts w:hint="eastAsia" w:ascii="宋体" w:hAnsi="宋体" w:cs="Arial"/>
          <w:color w:val="000000"/>
          <w:sz w:val="24"/>
        </w:rPr>
        <w:t>以内的，在退出之日起24个月之内分三批平均退还。</w:t>
      </w:r>
    </w:p>
    <w:p>
      <w:pPr>
        <w:numPr>
          <w:ilvl w:val="0"/>
          <w:numId w:val="4"/>
        </w:numPr>
        <w:spacing w:before="156" w:beforeLines="50" w:after="156" w:afterLines="50" w:line="276" w:lineRule="auto"/>
        <w:ind w:firstLine="562" w:firstLineChars="200"/>
        <w:jc w:val="center"/>
        <w:rPr>
          <w:rFonts w:ascii="宋体" w:hAnsi="宋体"/>
          <w:b/>
          <w:bCs/>
          <w:color w:val="000000"/>
          <w:sz w:val="28"/>
          <w:szCs w:val="28"/>
        </w:rPr>
      </w:pPr>
      <w:r>
        <w:rPr>
          <w:rFonts w:hint="eastAsia" w:ascii="宋体" w:hAnsi="宋体"/>
          <w:b/>
          <w:bCs/>
          <w:color w:val="000000"/>
          <w:sz w:val="28"/>
          <w:szCs w:val="28"/>
        </w:rPr>
        <w:t xml:space="preserve"> 增资方案</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1、作为库藏股的万股权用途仅为增资扩股为限。</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2、公司增资需由代表三分之二表决权的股东同意方可增资。</w:t>
      </w:r>
    </w:p>
    <w:p>
      <w:pPr>
        <w:spacing w:before="156" w:beforeLines="50" w:after="156" w:afterLines="50" w:line="276" w:lineRule="auto"/>
        <w:ind w:firstLine="480" w:firstLineChars="200"/>
        <w:rPr>
          <w:rFonts w:ascii="宋体" w:hAnsi="宋体" w:cs="楷体"/>
          <w:color w:val="000000"/>
          <w:sz w:val="24"/>
        </w:rPr>
      </w:pPr>
      <w:r>
        <w:rPr>
          <w:rFonts w:hint="eastAsia" w:ascii="宋体" w:hAnsi="宋体" w:cs="楷体"/>
          <w:color w:val="000000"/>
          <w:sz w:val="24"/>
        </w:rPr>
        <w:t>3、如公司需引进新股东与公司实行高管及员工股权激励时，现有股东的股权与股权激励所增发的股权进行同比例稀释。</w:t>
      </w:r>
    </w:p>
    <w:p>
      <w:pPr>
        <w:numPr>
          <w:ilvl w:val="0"/>
          <w:numId w:val="4"/>
        </w:numPr>
        <w:spacing w:before="156" w:beforeLines="50" w:after="156" w:afterLines="50" w:line="276" w:lineRule="auto"/>
        <w:ind w:firstLine="562" w:firstLineChars="200"/>
        <w:jc w:val="center"/>
        <w:rPr>
          <w:rFonts w:ascii="宋体" w:hAnsi="宋体"/>
          <w:b/>
          <w:bCs/>
          <w:color w:val="000000"/>
          <w:sz w:val="28"/>
          <w:szCs w:val="28"/>
        </w:rPr>
      </w:pPr>
      <w:r>
        <w:rPr>
          <w:rFonts w:hint="eastAsia" w:ascii="宋体" w:hAnsi="宋体"/>
          <w:b/>
          <w:bCs/>
          <w:color w:val="000000"/>
          <w:sz w:val="28"/>
          <w:szCs w:val="28"/>
        </w:rPr>
        <w:t xml:space="preserve"> 保密事项</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1、自各方就本协议所述与公司增资扩股进行沟通和商务谈判始，包括（但不限于）财务审计、现场考察、制度审查等工作过程，以及本协议的签订和履行，完成工商行政管理部门的变更登记手续等，在增资扩股全部完成的整个期间内，各方均负有保密的义务。未经各方事先书面同意，任何一方不得将他方披露或提供的保密资料以及本增资扩股方案披露或泄露给任何第三方或用作其他用途，但通过正常途径已经为公众获知的信息不在此列。</w:t>
      </w:r>
    </w:p>
    <w:p>
      <w:pPr>
        <w:widowControl/>
        <w:numPr>
          <w:ilvl w:val="0"/>
          <w:numId w:val="5"/>
        </w:numPr>
        <w:spacing w:before="156" w:beforeLines="50" w:after="156" w:afterLines="50" w:line="276" w:lineRule="auto"/>
        <w:ind w:firstLine="480" w:firstLineChars="200"/>
        <w:jc w:val="left"/>
        <w:rPr>
          <w:rFonts w:ascii="宋体" w:hAnsi="宋体" w:cs="楷体_GB2312"/>
          <w:color w:val="000000"/>
          <w:kern w:val="0"/>
          <w:sz w:val="24"/>
        </w:rPr>
      </w:pPr>
      <w:r>
        <w:rPr>
          <w:rFonts w:hint="eastAsia" w:ascii="宋体" w:hAnsi="宋体" w:cs="楷体_GB2312"/>
          <w:color w:val="000000"/>
          <w:kern w:val="0"/>
          <w:sz w:val="24"/>
        </w:rPr>
        <w:t>保密资料的范围涵盖与本次增资有关的、由各方以书面、实物、电子方式或其他可能的方式向他方（或其代理人、咨询人、顾问或其他代表）提供或披露的涉及各方的信息资料，包括但不限于各方的财务报表、人事情报、公司组织结构及决策程序、业务计划、与其他公司协作业务的有关情报、与关联公司有关的信息资料以及本协议等。</w:t>
      </w:r>
    </w:p>
    <w:p>
      <w:pPr>
        <w:widowControl/>
        <w:spacing w:before="156" w:beforeLines="50" w:after="156" w:afterLines="50" w:line="276" w:lineRule="auto"/>
        <w:ind w:firstLine="480" w:firstLineChars="200"/>
        <w:jc w:val="left"/>
        <w:rPr>
          <w:rFonts w:ascii="宋体" w:hAnsi="宋体" w:cs="楷体_GB2312"/>
          <w:color w:val="000000"/>
          <w:kern w:val="0"/>
          <w:sz w:val="24"/>
        </w:rPr>
      </w:pPr>
      <w:r>
        <w:rPr>
          <w:rFonts w:hint="eastAsia" w:ascii="宋体" w:hAnsi="宋体" w:cs="楷体_GB2312"/>
          <w:color w:val="000000"/>
          <w:kern w:val="0"/>
          <w:sz w:val="24"/>
        </w:rPr>
        <w:t>3、本协议终止后与本协议有关的保密义务仍然继续有效。</w:t>
      </w:r>
    </w:p>
    <w:p>
      <w:pPr>
        <w:numPr>
          <w:ilvl w:val="0"/>
          <w:numId w:val="4"/>
        </w:numPr>
        <w:spacing w:before="156" w:beforeLines="50" w:after="156" w:afterLines="50" w:line="276" w:lineRule="auto"/>
        <w:ind w:firstLine="562" w:firstLineChars="200"/>
        <w:jc w:val="center"/>
        <w:rPr>
          <w:rFonts w:ascii="宋体" w:hAnsi="宋体"/>
          <w:b/>
          <w:bCs/>
          <w:color w:val="000000"/>
          <w:sz w:val="28"/>
          <w:szCs w:val="28"/>
        </w:rPr>
      </w:pPr>
      <w:r>
        <w:rPr>
          <w:rFonts w:hint="eastAsia" w:ascii="宋体" w:hAnsi="宋体"/>
          <w:b/>
          <w:bCs/>
          <w:color w:val="000000"/>
          <w:sz w:val="28"/>
          <w:szCs w:val="28"/>
        </w:rPr>
        <w:t xml:space="preserve"> 其它事项</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1、转让</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除法律另有规定外，本协议任何一方的权利和义务不得转让。</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2、更改</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除非各方书面同意，本协议不能做任何修改，补充或更改。</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3、独立性</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如果本协议任何条款被法院裁定属于非法或无法执行，该条款将与本协议其他条款分割并应被视作无效，该条款并不改变其他条款的运作。</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4、不可抗力</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由于发生地震、台风、火灾、战争等在订立本协议时不能预见、对其发生和后果不能避免并不能克服的事件，使本协议规定的条款无法履行或受到严重影响时，或由于国家政策的调整改变，致使本协议无法履行时，遇有上述不可抗力事件的一方，应在该事件发生后15日内，将经由当地公证机关出具的证明文件或有关政府批文通知对方。由于发生上述事件，需要延期或解除（全部或部分）本协议时，由本协议各方协商解决。</w:t>
      </w:r>
    </w:p>
    <w:p>
      <w:pPr>
        <w:widowControl/>
        <w:spacing w:before="156" w:beforeLines="50" w:after="156" w:afterLines="50" w:line="276" w:lineRule="auto"/>
        <w:ind w:firstLine="480" w:firstLineChars="200"/>
        <w:rPr>
          <w:rFonts w:ascii="宋体" w:hAnsi="宋体" w:cs="楷体_GB2312"/>
          <w:color w:val="000000"/>
          <w:sz w:val="24"/>
        </w:rPr>
      </w:pPr>
      <w:r>
        <w:rPr>
          <w:rFonts w:hint="eastAsia" w:ascii="宋体" w:hAnsi="宋体" w:cs="楷体_GB2312"/>
          <w:color w:val="000000"/>
          <w:sz w:val="24"/>
        </w:rPr>
        <w:t>5、适用法律</w:t>
      </w:r>
      <w:r>
        <w:rPr>
          <w:rFonts w:hint="eastAsia" w:ascii="宋体" w:hAnsi="宋体" w:cs="楷体_GB2312"/>
          <w:color w:val="000000"/>
          <w:sz w:val="24"/>
        </w:rPr>
        <w:br w:type="textWrapping"/>
      </w:r>
      <w:r>
        <w:rPr>
          <w:rFonts w:hint="eastAsia" w:ascii="宋体" w:hAnsi="宋体" w:cs="楷体_GB2312"/>
          <w:color w:val="000000"/>
          <w:sz w:val="24"/>
        </w:rPr>
        <w:t>本协议的订立、效力、解释、执行、修改、终止及争议的解决，均应适用中国法律。</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6、争议解决</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凡是因本协议引起的或与本协议有关的任何争议应通过友好协商解决。在无法达成互谅的争议解决方案的情况下，任何一方均可将争议提交仲裁委员会仲裁，根据该仲裁委员会现行有效的仲裁规则通过仲裁解决。仲裁委员会做出的裁决是终局的，对各方均具有法律约束力。</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7、公司章程问题</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若本协议与原公司章程有冲突，按本协议执行；若本协议尚未规定之处，公司章程中有规定的，按公司章程执行。</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8、正本</w:t>
      </w:r>
    </w:p>
    <w:p>
      <w:pPr>
        <w:pStyle w:val="6"/>
        <w:widowControl/>
        <w:spacing w:before="156" w:beforeLines="50" w:beforeAutospacing="0" w:after="156" w:afterLines="50" w:afterAutospacing="0" w:line="276" w:lineRule="auto"/>
        <w:ind w:firstLine="480" w:firstLineChars="200"/>
        <w:rPr>
          <w:rFonts w:ascii="宋体" w:hAnsi="宋体" w:cs="楷体_GB2312"/>
          <w:color w:val="000000"/>
          <w:szCs w:val="24"/>
        </w:rPr>
      </w:pPr>
      <w:r>
        <w:rPr>
          <w:rFonts w:hint="eastAsia" w:ascii="宋体" w:hAnsi="宋体" w:cs="楷体_GB2312"/>
          <w:color w:val="000000"/>
          <w:szCs w:val="24"/>
        </w:rPr>
        <w:t>本协议一式两份，每份文本经签署并交付后即为正本。所有文本应为同一内容及样式，各方各执一份。</w:t>
      </w:r>
    </w:p>
    <w:p>
      <w:pPr>
        <w:spacing w:before="156" w:beforeLines="50" w:after="156" w:afterLines="50" w:line="276" w:lineRule="auto"/>
        <w:ind w:firstLine="480" w:firstLineChars="200"/>
        <w:jc w:val="center"/>
        <w:rPr>
          <w:rFonts w:ascii="宋体" w:hAnsi="宋体"/>
          <w:color w:val="000000"/>
          <w:sz w:val="24"/>
        </w:rPr>
      </w:pPr>
      <w:r>
        <w:rPr>
          <w:rFonts w:hint="eastAsia" w:ascii="宋体" w:hAnsi="宋体"/>
          <w:color w:val="000000"/>
          <w:sz w:val="24"/>
        </w:rPr>
        <w:t>（以下为签署处，无正文）</w:t>
      </w:r>
    </w:p>
    <w:p>
      <w:pPr>
        <w:spacing w:before="156" w:beforeLines="50" w:after="156" w:afterLines="50" w:line="276" w:lineRule="auto"/>
        <w:ind w:firstLine="480" w:firstLineChars="200"/>
        <w:rPr>
          <w:rFonts w:ascii="宋体" w:hAnsi="宋体"/>
          <w:color w:val="000000"/>
          <w:sz w:val="24"/>
        </w:rPr>
      </w:pPr>
    </w:p>
    <w:p>
      <w:pPr>
        <w:spacing w:before="156" w:beforeLines="50" w:after="156" w:afterLines="50" w:line="276" w:lineRule="auto"/>
        <w:ind w:firstLine="480" w:firstLineChars="200"/>
        <w:rPr>
          <w:rFonts w:ascii="宋体" w:hAnsi="宋体"/>
          <w:color w:val="000000"/>
          <w:sz w:val="24"/>
        </w:rPr>
      </w:pPr>
    </w:p>
    <w:p>
      <w:pPr>
        <w:spacing w:before="156" w:beforeLines="50" w:after="156" w:afterLines="50" w:line="276" w:lineRule="auto"/>
        <w:ind w:firstLine="480" w:firstLineChars="200"/>
        <w:rPr>
          <w:rFonts w:ascii="宋体" w:hAnsi="宋体"/>
          <w:color w:val="000000"/>
          <w:sz w:val="24"/>
        </w:rPr>
      </w:pPr>
    </w:p>
    <w:p>
      <w:pPr>
        <w:spacing w:before="156" w:beforeLines="50" w:after="156" w:afterLines="50" w:line="276" w:lineRule="auto"/>
        <w:ind w:firstLine="482" w:firstLineChars="200"/>
        <w:rPr>
          <w:rFonts w:ascii="宋体" w:hAnsi="宋体" w:cs="楷体_GB2312"/>
          <w:b/>
          <w:bCs/>
          <w:color w:val="000000"/>
          <w:sz w:val="24"/>
        </w:rPr>
      </w:pPr>
      <w:r>
        <w:rPr>
          <w:rFonts w:hint="eastAsia" w:ascii="宋体" w:hAnsi="宋体" w:cs="楷体_GB2312"/>
          <w:b/>
          <w:bCs/>
          <w:color w:val="000000"/>
          <w:sz w:val="24"/>
        </w:rPr>
        <w:t>甲方：（签字）</w:t>
      </w:r>
    </w:p>
    <w:p>
      <w:pPr>
        <w:spacing w:before="156" w:beforeLines="50" w:after="156" w:afterLines="50" w:line="276" w:lineRule="auto"/>
        <w:ind w:firstLine="482" w:firstLineChars="200"/>
        <w:rPr>
          <w:rFonts w:ascii="宋体" w:hAnsi="宋体" w:cs="楷体_GB2312"/>
          <w:b/>
          <w:bCs/>
          <w:color w:val="000000"/>
          <w:sz w:val="24"/>
        </w:rPr>
      </w:pPr>
    </w:p>
    <w:p>
      <w:pPr>
        <w:spacing w:before="156" w:beforeLines="50" w:after="156" w:afterLines="50" w:line="276" w:lineRule="auto"/>
        <w:ind w:firstLine="482" w:firstLineChars="200"/>
        <w:rPr>
          <w:rFonts w:ascii="宋体" w:hAnsi="宋体" w:cs="楷体_GB2312"/>
          <w:b/>
          <w:bCs/>
          <w:color w:val="000000"/>
          <w:sz w:val="24"/>
        </w:rPr>
      </w:pPr>
      <w:r>
        <w:rPr>
          <w:rFonts w:hint="eastAsia" w:ascii="宋体" w:hAnsi="宋体" w:cs="楷体_GB2312"/>
          <w:b/>
          <w:bCs/>
          <w:color w:val="000000"/>
          <w:sz w:val="24"/>
        </w:rPr>
        <w:t>签约时间：</w:t>
      </w:r>
    </w:p>
    <w:p>
      <w:pPr>
        <w:spacing w:before="156" w:beforeLines="50" w:after="156" w:afterLines="50" w:line="276" w:lineRule="auto"/>
        <w:ind w:firstLine="482" w:firstLineChars="200"/>
        <w:rPr>
          <w:rFonts w:ascii="宋体" w:hAnsi="宋体" w:cs="楷体_GB2312"/>
          <w:b/>
          <w:bCs/>
          <w:color w:val="000000"/>
          <w:sz w:val="24"/>
        </w:rPr>
      </w:pPr>
    </w:p>
    <w:p>
      <w:pPr>
        <w:spacing w:before="156" w:beforeLines="50" w:after="156" w:afterLines="50" w:line="276" w:lineRule="auto"/>
        <w:ind w:firstLine="482" w:firstLineChars="200"/>
        <w:rPr>
          <w:rFonts w:ascii="宋体" w:hAnsi="宋体" w:cs="楷体_GB2312"/>
          <w:b/>
          <w:bCs/>
          <w:color w:val="000000"/>
          <w:sz w:val="24"/>
        </w:rPr>
      </w:pPr>
      <w:r>
        <w:rPr>
          <w:rFonts w:hint="eastAsia" w:ascii="宋体" w:hAnsi="宋体" w:cs="楷体_GB2312"/>
          <w:b/>
          <w:bCs/>
          <w:color w:val="000000"/>
          <w:sz w:val="24"/>
        </w:rPr>
        <w:t>乙方：（签字）</w:t>
      </w:r>
    </w:p>
    <w:p>
      <w:pPr>
        <w:spacing w:before="156" w:beforeLines="50" w:after="156" w:afterLines="50" w:line="276" w:lineRule="auto"/>
        <w:ind w:firstLine="482" w:firstLineChars="200"/>
        <w:rPr>
          <w:rFonts w:ascii="宋体" w:hAnsi="宋体" w:cs="楷体_GB2312"/>
          <w:b/>
          <w:bCs/>
          <w:color w:val="000000"/>
          <w:sz w:val="24"/>
        </w:rPr>
      </w:pPr>
    </w:p>
    <w:p>
      <w:pPr>
        <w:spacing w:before="156" w:beforeLines="50" w:after="156" w:afterLines="50" w:line="276" w:lineRule="auto"/>
        <w:ind w:firstLine="482" w:firstLineChars="200"/>
        <w:rPr>
          <w:rFonts w:ascii="宋体" w:hAnsi="宋体" w:cs="楷体_GB2312"/>
          <w:b/>
          <w:bCs/>
          <w:color w:val="000000"/>
          <w:sz w:val="24"/>
        </w:rPr>
      </w:pPr>
      <w:r>
        <w:rPr>
          <w:rFonts w:hint="eastAsia" w:ascii="宋体" w:hAnsi="宋体" w:cs="楷体_GB2312"/>
          <w:b/>
          <w:bCs/>
          <w:color w:val="000000"/>
          <w:sz w:val="24"/>
        </w:rPr>
        <w:t>签约时间：</w:t>
      </w:r>
    </w:p>
    <w:p>
      <w:pPr>
        <w:spacing w:before="156" w:beforeLines="50" w:after="156" w:afterLines="50" w:line="276" w:lineRule="auto"/>
        <w:ind w:firstLine="420" w:firstLineChars="200"/>
        <w:rPr>
          <w:rFonts w:ascii="宋体" w:hAnsi="宋体"/>
          <w:color w:val="000000"/>
        </w:rPr>
      </w:pPr>
    </w:p>
    <w:p>
      <w:pPr>
        <w:spacing w:before="156" w:beforeLines="50" w:after="156" w:afterLines="50" w:line="276" w:lineRule="auto"/>
        <w:ind w:firstLine="420" w:firstLineChars="200"/>
        <w:rPr>
          <w:rFonts w:ascii="宋体" w:hAnsi="宋体"/>
          <w:color w:val="000000"/>
        </w:rPr>
      </w:pPr>
    </w:p>
    <w:p>
      <w:pPr>
        <w:spacing w:before="156" w:beforeLines="50" w:after="156" w:afterLines="50" w:line="276" w:lineRule="auto"/>
        <w:ind w:firstLine="420" w:firstLineChars="200"/>
        <w:rPr>
          <w:rFonts w:ascii="宋体" w:hAnsi="宋体"/>
          <w:color w:val="000000"/>
        </w:rPr>
      </w:pPr>
    </w:p>
    <w:sectPr>
      <w:headerReference r:id="rId3" w:type="default"/>
      <w:footerReference r:id="rId4" w:type="default"/>
      <w:pgSz w:w="11906" w:h="16838"/>
      <w:pgMar w:top="1440" w:right="127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159131"/>
    <w:multiLevelType w:val="singleLevel"/>
    <w:tmpl w:val="54159131"/>
    <w:lvl w:ilvl="0" w:tentative="0">
      <w:start w:val="3"/>
      <w:numFmt w:val="decimal"/>
      <w:suff w:val="space"/>
      <w:lvlText w:val="%1、"/>
      <w:lvlJc w:val="left"/>
    </w:lvl>
  </w:abstractNum>
  <w:abstractNum w:abstractNumId="1">
    <w:nsid w:val="54164A49"/>
    <w:multiLevelType w:val="singleLevel"/>
    <w:tmpl w:val="54164A49"/>
    <w:lvl w:ilvl="0" w:tentative="0">
      <w:start w:val="2"/>
      <w:numFmt w:val="decimal"/>
      <w:suff w:val="nothing"/>
      <w:lvlText w:val="%1、"/>
      <w:lvlJc w:val="left"/>
    </w:lvl>
  </w:abstractNum>
  <w:abstractNum w:abstractNumId="2">
    <w:nsid w:val="54165A26"/>
    <w:multiLevelType w:val="singleLevel"/>
    <w:tmpl w:val="54165A26"/>
    <w:lvl w:ilvl="0" w:tentative="0">
      <w:start w:val="4"/>
      <w:numFmt w:val="chineseCounting"/>
      <w:suff w:val="nothing"/>
      <w:lvlText w:val="第%1章"/>
      <w:lvlJc w:val="left"/>
    </w:lvl>
  </w:abstractNum>
  <w:abstractNum w:abstractNumId="3">
    <w:nsid w:val="541673C5"/>
    <w:multiLevelType w:val="singleLevel"/>
    <w:tmpl w:val="541673C5"/>
    <w:lvl w:ilvl="0" w:tentative="0">
      <w:start w:val="2"/>
      <w:numFmt w:val="decimal"/>
      <w:suff w:val="nothing"/>
      <w:lvlText w:val="%1、"/>
      <w:lvlJc w:val="left"/>
    </w:lvl>
  </w:abstractNum>
  <w:abstractNum w:abstractNumId="4">
    <w:nsid w:val="54167444"/>
    <w:multiLevelType w:val="singleLevel"/>
    <w:tmpl w:val="54167444"/>
    <w:lvl w:ilvl="0" w:tentative="0">
      <w:start w:val="2"/>
      <w:numFmt w:val="decimal"/>
      <w:suff w:val="nothing"/>
      <w:lvlText w:val="%1、"/>
      <w:lvlJc w:val="left"/>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0EC"/>
    <w:rsid w:val="003C49F1"/>
    <w:rsid w:val="00504AA5"/>
    <w:rsid w:val="005775B1"/>
    <w:rsid w:val="0068292E"/>
    <w:rsid w:val="007A20EC"/>
    <w:rsid w:val="008D49B6"/>
    <w:rsid w:val="0092232B"/>
    <w:rsid w:val="00987604"/>
    <w:rsid w:val="00AF04D1"/>
    <w:rsid w:val="00B16644"/>
    <w:rsid w:val="00E85C11"/>
    <w:rsid w:val="40955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uiPriority w:val="0"/>
    <w:pPr>
      <w:jc w:val="left"/>
    </w:pPr>
  </w:style>
  <w:style w:type="paragraph" w:styleId="3">
    <w:name w:val="Balloon Text"/>
    <w:basedOn w:val="1"/>
    <w:link w:val="15"/>
    <w:semiHidden/>
    <w:unhideWhenUsed/>
    <w:uiPriority w:val="0"/>
    <w:rPr>
      <w:sz w:val="18"/>
      <w:szCs w:val="18"/>
    </w:r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0"/>
    <w:pPr>
      <w:spacing w:before="100" w:beforeAutospacing="1" w:after="100" w:afterAutospacing="1"/>
      <w:jc w:val="left"/>
    </w:pPr>
    <w:rPr>
      <w:kern w:val="0"/>
      <w:sz w:val="24"/>
      <w:szCs w:val="20"/>
    </w:rPr>
  </w:style>
  <w:style w:type="paragraph" w:styleId="7">
    <w:name w:val="annotation subject"/>
    <w:basedOn w:val="2"/>
    <w:next w:val="2"/>
    <w:link w:val="14"/>
    <w:semiHidden/>
    <w:unhideWhenUsed/>
    <w:uiPriority w:val="0"/>
    <w:rPr>
      <w:b/>
      <w:bCs/>
    </w:rPr>
  </w:style>
  <w:style w:type="character" w:styleId="10">
    <w:name w:val="annotation reference"/>
    <w:semiHidden/>
    <w:unhideWhenUsed/>
    <w:qFormat/>
    <w:uiPriority w:val="0"/>
    <w:rPr>
      <w:sz w:val="21"/>
      <w:szCs w:val="21"/>
    </w:rPr>
  </w:style>
  <w:style w:type="character" w:customStyle="1" w:styleId="11">
    <w:name w:val="页眉 Char"/>
    <w:link w:val="5"/>
    <w:semiHidden/>
    <w:qFormat/>
    <w:uiPriority w:val="99"/>
    <w:rPr>
      <w:sz w:val="18"/>
      <w:szCs w:val="18"/>
    </w:rPr>
  </w:style>
  <w:style w:type="character" w:customStyle="1" w:styleId="12">
    <w:name w:val="页脚 Char"/>
    <w:link w:val="4"/>
    <w:semiHidden/>
    <w:qFormat/>
    <w:uiPriority w:val="99"/>
    <w:rPr>
      <w:sz w:val="18"/>
      <w:szCs w:val="18"/>
    </w:rPr>
  </w:style>
  <w:style w:type="character" w:customStyle="1" w:styleId="13">
    <w:name w:val="批注文字 Char"/>
    <w:link w:val="2"/>
    <w:semiHidden/>
    <w:uiPriority w:val="0"/>
    <w:rPr>
      <w:kern w:val="2"/>
      <w:sz w:val="21"/>
      <w:szCs w:val="24"/>
    </w:rPr>
  </w:style>
  <w:style w:type="character" w:customStyle="1" w:styleId="14">
    <w:name w:val="批注主题 Char"/>
    <w:link w:val="7"/>
    <w:semiHidden/>
    <w:qFormat/>
    <w:uiPriority w:val="0"/>
    <w:rPr>
      <w:b/>
      <w:bCs/>
      <w:kern w:val="2"/>
      <w:sz w:val="21"/>
      <w:szCs w:val="24"/>
    </w:rPr>
  </w:style>
  <w:style w:type="character" w:customStyle="1" w:styleId="15">
    <w:name w:val="批注框文本 Char"/>
    <w:link w:val="3"/>
    <w:semiHidden/>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563</Words>
  <Characters>3210</Characters>
  <Lines>26</Lines>
  <Paragraphs>7</Paragraphs>
  <TotalTime>0</TotalTime>
  <ScaleCrop>false</ScaleCrop>
  <LinksUpToDate>false</LinksUpToDate>
  <CharactersWithSpaces>3766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2021-03-19T11:26:00Z</dcterms:created>
  <dc:creator>Admin</dc:creator>
  <cp:lastModifiedBy>Administrator</cp:lastModifiedBy>
  <dcterms:modified xsi:type="dcterms:W3CDTF">2021-05-06T08:59:22Z</dcterms:modified>
  <dc:title>深圳市绿宝地生物科技有限公司</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0E524A6174BB4BD4A0FDB80CD172014C</vt:lpwstr>
  </property>
</Properties>
</file>